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7" w:rsidRDefault="00C80F14" w:rsidP="004050E0">
      <w:pPr>
        <w:pStyle w:val="Ttulo"/>
        <w:ind w:left="720" w:hanging="72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49606" wp14:editId="15DC2538">
                <wp:simplePos x="0" y="0"/>
                <wp:positionH relativeFrom="column">
                  <wp:posOffset>5093299</wp:posOffset>
                </wp:positionH>
                <wp:positionV relativeFrom="paragraph">
                  <wp:posOffset>-535078</wp:posOffset>
                </wp:positionV>
                <wp:extent cx="1285240" cy="387985"/>
                <wp:effectExtent l="0" t="0" r="1016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D9" w:rsidRPr="00C80F14" w:rsidRDefault="002D02D9" w:rsidP="00C80F14">
                            <w:pPr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  <w:r w:rsidRPr="00C80F14">
                              <w:rPr>
                                <w:b/>
                                <w:sz w:val="36"/>
                              </w:rPr>
                              <w:t>F_EVA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1.05pt;margin-top:-42.15pt;width:101.2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">
                <v:textbox>
                  <w:txbxContent>
                    <w:p w:rsidR="002D02D9" w:rsidRPr="00C80F14" w:rsidRDefault="002D02D9" w:rsidP="00C80F14">
                      <w:pPr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  <w:r w:rsidRPr="00C80F14">
                        <w:rPr>
                          <w:b/>
                          <w:sz w:val="36"/>
                        </w:rPr>
                        <w:t>F_EVA 1</w:t>
                      </w:r>
                    </w:p>
                  </w:txbxContent>
                </v:textbox>
              </v:shape>
            </w:pict>
          </mc:Fallback>
        </mc:AlternateContent>
      </w:r>
      <w:r w:rsidRPr="00C80F14">
        <w:rPr>
          <w:lang w:val="en-US"/>
        </w:rPr>
        <w:drawing>
          <wp:anchor distT="0" distB="0" distL="114300" distR="114300" simplePos="0" relativeHeight="251662335" behindDoc="1" locked="0" layoutInCell="1" allowOverlap="1" wp14:anchorId="595DF7BC" wp14:editId="04F5BA06">
            <wp:simplePos x="0" y="0"/>
            <wp:positionH relativeFrom="column">
              <wp:posOffset>-479425</wp:posOffset>
            </wp:positionH>
            <wp:positionV relativeFrom="paragraph">
              <wp:posOffset>-76200</wp:posOffset>
            </wp:positionV>
            <wp:extent cx="436880" cy="586105"/>
            <wp:effectExtent l="0" t="0" r="1270" b="4445"/>
            <wp:wrapTight wrapText="bothSides">
              <wp:wrapPolygon edited="0">
                <wp:start x="0" y="0"/>
                <wp:lineTo x="0" y="19658"/>
                <wp:lineTo x="5651" y="21062"/>
                <wp:lineTo x="15070" y="21062"/>
                <wp:lineTo x="20721" y="19658"/>
                <wp:lineTo x="20721" y="0"/>
                <wp:lineTo x="0" y="0"/>
              </wp:wrapPolygon>
            </wp:wrapTight>
            <wp:docPr id="1" name="Imagen 1" descr="Escudo de la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la UAB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7226" r="18353" b="7803"/>
                    <a:stretch/>
                  </pic:blipFill>
                  <pic:spPr bwMode="auto">
                    <a:xfrm>
                      <a:off x="0" y="0"/>
                      <a:ext cx="43688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86" w:rsidRPr="00B019C1">
        <w:rPr>
          <w:b w:val="0"/>
          <w:noProof/>
          <w:lang w:eastAsia="es-MX"/>
        </w:rPr>
        <w:drawing>
          <wp:anchor distT="0" distB="0" distL="114300" distR="114300" simplePos="0" relativeHeight="251661310" behindDoc="1" locked="0" layoutInCell="1" allowOverlap="1" wp14:anchorId="61EE19AC" wp14:editId="065BBCBF">
            <wp:simplePos x="0" y="0"/>
            <wp:positionH relativeFrom="column">
              <wp:posOffset>5748655</wp:posOffset>
            </wp:positionH>
            <wp:positionV relativeFrom="paragraph">
              <wp:posOffset>-75565</wp:posOffset>
            </wp:positionV>
            <wp:extent cx="396240" cy="471805"/>
            <wp:effectExtent l="0" t="0" r="3810" b="4445"/>
            <wp:wrapTight wrapText="bothSides">
              <wp:wrapPolygon edited="0">
                <wp:start x="0" y="0"/>
                <wp:lineTo x="0" y="20931"/>
                <wp:lineTo x="20769" y="20931"/>
                <wp:lineTo x="2076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2C5">
        <w:t>UNIVERSIDAD AUTÓNO</w:t>
      </w:r>
      <w:r w:rsidR="002C0AE7">
        <w:t>MA DE BAJA CALIFORNIA</w:t>
      </w:r>
    </w:p>
    <w:p w:rsidR="002C0AE7" w:rsidRDefault="002C0AE7">
      <w:pPr>
        <w:pStyle w:val="Subttulo"/>
        <w:jc w:val="center"/>
      </w:pPr>
      <w:r>
        <w:t xml:space="preserve">FACULTAD DE </w:t>
      </w:r>
      <w:r w:rsidR="000B2018">
        <w:t>INGENI</w:t>
      </w:r>
      <w:r w:rsidR="00E32A0A">
        <w:t>ERÍA</w:t>
      </w:r>
    </w:p>
    <w:p w:rsidR="000A128A" w:rsidRDefault="000A128A">
      <w:pPr>
        <w:pStyle w:val="Subttulo"/>
        <w:jc w:val="center"/>
      </w:pPr>
    </w:p>
    <w:p w:rsidR="009946C2" w:rsidRDefault="00E011FB" w:rsidP="00E011FB">
      <w:pPr>
        <w:pStyle w:val="Subttul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Políticas Para la Evaluación Permanente </w:t>
      </w:r>
      <w:r w:rsidR="000A128A" w:rsidRPr="0083053F">
        <w:rPr>
          <w:sz w:val="22"/>
          <w:szCs w:val="22"/>
        </w:rPr>
        <w:t>Ordinaria que Prevé el A</w:t>
      </w:r>
      <w:r>
        <w:rPr>
          <w:sz w:val="22"/>
          <w:szCs w:val="22"/>
        </w:rPr>
        <w:t>rtículo 68 del Estatuto Escolar</w:t>
      </w:r>
    </w:p>
    <w:p w:rsidR="00FF7732" w:rsidRPr="00FD0A17" w:rsidRDefault="00FF7732" w:rsidP="00FF7732">
      <w:pPr>
        <w:pStyle w:val="Subttulo"/>
        <w:jc w:val="center"/>
        <w:rPr>
          <w:color w:val="C00000"/>
          <w:szCs w:val="22"/>
        </w:rPr>
      </w:pPr>
      <w:r w:rsidRPr="00FD0A17">
        <w:rPr>
          <w:color w:val="C00000"/>
          <w:szCs w:val="22"/>
        </w:rPr>
        <w:t>FORMATO PARA UNIDAD</w:t>
      </w:r>
      <w:r>
        <w:rPr>
          <w:color w:val="C00000"/>
          <w:szCs w:val="22"/>
        </w:rPr>
        <w:t>ES DE APRENDIZAJE SIN</w:t>
      </w:r>
      <w:r w:rsidRPr="00FD0A17">
        <w:rPr>
          <w:color w:val="C00000"/>
          <w:szCs w:val="22"/>
        </w:rPr>
        <w:t xml:space="preserve"> EXAMEN COLEGIADO</w:t>
      </w:r>
    </w:p>
    <w:p w:rsidR="00FF7732" w:rsidRPr="00C80F14" w:rsidRDefault="00FF7732" w:rsidP="00E011FB">
      <w:pPr>
        <w:pStyle w:val="Subttulo"/>
        <w:jc w:val="center"/>
        <w:rPr>
          <w:sz w:val="10"/>
          <w:szCs w:val="22"/>
        </w:rPr>
      </w:pPr>
    </w:p>
    <w:p w:rsidR="00E011FB" w:rsidRPr="00E011FB" w:rsidRDefault="00E011FB" w:rsidP="00E011FB">
      <w:pPr>
        <w:pStyle w:val="Subttulo"/>
        <w:jc w:val="center"/>
        <w:rPr>
          <w:sz w:val="22"/>
          <w:szCs w:val="22"/>
        </w:rPr>
      </w:pPr>
    </w:p>
    <w:p w:rsidR="000A128A" w:rsidRDefault="00E011FB" w:rsidP="00E011FB">
      <w:pPr>
        <w:pStyle w:val="Ttulo4"/>
        <w:jc w:val="left"/>
        <w:rPr>
          <w:sz w:val="20"/>
          <w:szCs w:val="20"/>
        </w:rPr>
      </w:pPr>
      <w:r w:rsidRPr="001F7A40">
        <w:rPr>
          <w:sz w:val="20"/>
          <w:szCs w:val="20"/>
        </w:rPr>
        <w:t>Programa educativo</w:t>
      </w:r>
      <w:r w:rsidR="00E32A0A" w:rsidRPr="001F7A40">
        <w:rPr>
          <w:sz w:val="20"/>
          <w:szCs w:val="20"/>
        </w:rPr>
        <w:t xml:space="preserve">: </w:t>
      </w:r>
      <w:r w:rsidR="00F232C5" w:rsidRPr="001F7A40">
        <w:rPr>
          <w:sz w:val="20"/>
          <w:szCs w:val="20"/>
        </w:rPr>
        <w:t>_</w:t>
      </w:r>
      <w:r w:rsidR="00F232C5" w:rsidRPr="0083053F">
        <w:rPr>
          <w:sz w:val="20"/>
          <w:szCs w:val="20"/>
        </w:rPr>
        <w:t>_</w:t>
      </w:r>
      <w:r w:rsidR="00E32A0A" w:rsidRPr="0083053F">
        <w:rPr>
          <w:sz w:val="20"/>
          <w:szCs w:val="20"/>
        </w:rPr>
        <w:t>_</w:t>
      </w:r>
      <w:r w:rsidR="000A128A" w:rsidRPr="0083053F">
        <w:rPr>
          <w:sz w:val="20"/>
          <w:szCs w:val="20"/>
        </w:rPr>
        <w:t>_____</w:t>
      </w:r>
      <w:r w:rsidR="00E32A0A" w:rsidRPr="0083053F">
        <w:rPr>
          <w:sz w:val="20"/>
          <w:szCs w:val="20"/>
        </w:rPr>
        <w:t>__________________________________</w:t>
      </w:r>
      <w:r w:rsidR="005255AE">
        <w:rPr>
          <w:sz w:val="20"/>
          <w:szCs w:val="20"/>
        </w:rPr>
        <w:t>_______</w:t>
      </w:r>
      <w:r w:rsidR="00E32A0A" w:rsidRPr="0083053F">
        <w:rPr>
          <w:sz w:val="20"/>
          <w:szCs w:val="20"/>
        </w:rPr>
        <w:t>_____</w:t>
      </w:r>
      <w:r w:rsidR="000A128A" w:rsidRPr="0083053F">
        <w:rPr>
          <w:sz w:val="20"/>
          <w:szCs w:val="20"/>
        </w:rPr>
        <w:t>______</w:t>
      </w:r>
      <w:r>
        <w:rPr>
          <w:sz w:val="20"/>
          <w:szCs w:val="20"/>
        </w:rPr>
        <w:t>_______________</w:t>
      </w:r>
    </w:p>
    <w:p w:rsidR="001F7A40" w:rsidRPr="001F7A40" w:rsidRDefault="001F7A40" w:rsidP="001F7A40">
      <w:pPr>
        <w:rPr>
          <w:lang w:val="es-MX"/>
        </w:rPr>
      </w:pPr>
    </w:p>
    <w:p w:rsidR="0083053F" w:rsidRPr="0083053F" w:rsidRDefault="0083053F" w:rsidP="00E011FB">
      <w:pPr>
        <w:rPr>
          <w:sz w:val="20"/>
          <w:szCs w:val="20"/>
          <w:lang w:val="es-MX"/>
        </w:rPr>
      </w:pPr>
    </w:p>
    <w:p w:rsidR="000A128A" w:rsidRDefault="00FF1A6E" w:rsidP="00E011FB">
      <w:pPr>
        <w:rPr>
          <w:sz w:val="20"/>
          <w:szCs w:val="20"/>
          <w:lang w:val="es-MX"/>
        </w:rPr>
      </w:pPr>
      <w:r w:rsidRPr="0083053F">
        <w:rPr>
          <w:sz w:val="20"/>
          <w:szCs w:val="20"/>
          <w:lang w:val="es-MX"/>
        </w:rPr>
        <w:t xml:space="preserve">Nombre del </w:t>
      </w:r>
      <w:r w:rsidR="000A128A" w:rsidRPr="0083053F">
        <w:rPr>
          <w:sz w:val="20"/>
          <w:szCs w:val="20"/>
          <w:lang w:val="es-MX"/>
        </w:rPr>
        <w:t>Maestro: _________________</w:t>
      </w:r>
      <w:r w:rsidRPr="0083053F">
        <w:rPr>
          <w:sz w:val="20"/>
          <w:szCs w:val="20"/>
          <w:lang w:val="es-MX"/>
        </w:rPr>
        <w:t>__________________</w:t>
      </w:r>
      <w:r w:rsidR="005255AE">
        <w:rPr>
          <w:sz w:val="20"/>
          <w:szCs w:val="20"/>
          <w:lang w:val="es-MX"/>
        </w:rPr>
        <w:t>________</w:t>
      </w:r>
      <w:r w:rsidRPr="0083053F">
        <w:rPr>
          <w:sz w:val="20"/>
          <w:szCs w:val="20"/>
          <w:lang w:val="es-MX"/>
        </w:rPr>
        <w:t xml:space="preserve">  No. de empleado</w:t>
      </w:r>
      <w:proofErr w:type="gramStart"/>
      <w:r w:rsidRPr="0083053F">
        <w:rPr>
          <w:sz w:val="20"/>
          <w:szCs w:val="20"/>
          <w:lang w:val="es-MX"/>
        </w:rPr>
        <w:t>:</w:t>
      </w:r>
      <w:r w:rsidR="00E011FB">
        <w:rPr>
          <w:sz w:val="20"/>
          <w:szCs w:val="20"/>
          <w:lang w:val="es-MX"/>
        </w:rPr>
        <w:t>_</w:t>
      </w:r>
      <w:proofErr w:type="gramEnd"/>
      <w:r w:rsidR="00E011FB">
        <w:rPr>
          <w:sz w:val="20"/>
          <w:szCs w:val="20"/>
          <w:lang w:val="es-MX"/>
        </w:rPr>
        <w:t>________________</w:t>
      </w:r>
      <w:r w:rsidR="000A128A" w:rsidRPr="0083053F">
        <w:rPr>
          <w:sz w:val="20"/>
          <w:szCs w:val="20"/>
          <w:lang w:val="es-MX"/>
        </w:rPr>
        <w:t xml:space="preserve">  </w:t>
      </w:r>
    </w:p>
    <w:p w:rsidR="001F7A40" w:rsidRPr="0083053F" w:rsidRDefault="001F7A40" w:rsidP="00E011FB">
      <w:pPr>
        <w:rPr>
          <w:sz w:val="20"/>
          <w:szCs w:val="20"/>
          <w:lang w:val="es-MX"/>
        </w:rPr>
      </w:pPr>
    </w:p>
    <w:p w:rsidR="000A128A" w:rsidRPr="0083053F" w:rsidRDefault="000A128A" w:rsidP="00E011FB">
      <w:pPr>
        <w:rPr>
          <w:sz w:val="20"/>
          <w:szCs w:val="20"/>
          <w:lang w:val="es-MX"/>
        </w:rPr>
      </w:pPr>
    </w:p>
    <w:p w:rsidR="000A128A" w:rsidRPr="0083053F" w:rsidRDefault="000A128A" w:rsidP="00E011FB">
      <w:pPr>
        <w:rPr>
          <w:sz w:val="20"/>
          <w:szCs w:val="20"/>
          <w:lang w:val="es-MX"/>
        </w:rPr>
      </w:pPr>
      <w:r w:rsidRPr="0083053F">
        <w:rPr>
          <w:sz w:val="20"/>
          <w:szCs w:val="20"/>
          <w:lang w:val="es-MX"/>
        </w:rPr>
        <w:t>Unidad de aprendizaje: ____________________________________________________________</w:t>
      </w:r>
      <w:r w:rsidR="00E011FB">
        <w:rPr>
          <w:sz w:val="20"/>
          <w:szCs w:val="20"/>
          <w:lang w:val="es-MX"/>
        </w:rPr>
        <w:t>______</w:t>
      </w:r>
      <w:r w:rsidR="005255AE">
        <w:rPr>
          <w:sz w:val="20"/>
          <w:szCs w:val="20"/>
          <w:lang w:val="es-MX"/>
        </w:rPr>
        <w:t>________</w:t>
      </w:r>
    </w:p>
    <w:p w:rsidR="000A128A" w:rsidRPr="0083053F" w:rsidRDefault="000A128A" w:rsidP="00E011FB">
      <w:pPr>
        <w:rPr>
          <w:sz w:val="20"/>
          <w:szCs w:val="20"/>
          <w:lang w:val="es-MX"/>
        </w:rPr>
      </w:pPr>
    </w:p>
    <w:p w:rsidR="000A128A" w:rsidRPr="0083053F" w:rsidRDefault="000A128A" w:rsidP="00E011FB">
      <w:pPr>
        <w:rPr>
          <w:sz w:val="20"/>
          <w:szCs w:val="20"/>
          <w:lang w:val="es-MX"/>
        </w:rPr>
      </w:pPr>
      <w:r w:rsidRPr="0083053F">
        <w:rPr>
          <w:sz w:val="20"/>
          <w:szCs w:val="20"/>
          <w:lang w:val="es-MX"/>
        </w:rPr>
        <w:t xml:space="preserve"> </w:t>
      </w:r>
      <w:r w:rsidR="00FF1A6E" w:rsidRPr="0083053F">
        <w:rPr>
          <w:sz w:val="20"/>
          <w:szCs w:val="20"/>
          <w:lang w:val="es-MX"/>
        </w:rPr>
        <w:t>Clave</w:t>
      </w:r>
      <w:proofErr w:type="gramStart"/>
      <w:r w:rsidR="000B2018" w:rsidRPr="0083053F">
        <w:rPr>
          <w:sz w:val="20"/>
          <w:szCs w:val="20"/>
          <w:lang w:val="es-MX"/>
        </w:rPr>
        <w:t>:</w:t>
      </w:r>
      <w:r w:rsidR="005255AE">
        <w:rPr>
          <w:sz w:val="20"/>
          <w:szCs w:val="20"/>
          <w:lang w:val="es-MX"/>
        </w:rPr>
        <w:t>_</w:t>
      </w:r>
      <w:proofErr w:type="gramEnd"/>
      <w:r w:rsidR="005255AE">
        <w:rPr>
          <w:sz w:val="20"/>
          <w:szCs w:val="20"/>
          <w:lang w:val="es-MX"/>
        </w:rPr>
        <w:t>__</w:t>
      </w:r>
      <w:r w:rsidR="000B2018" w:rsidRPr="0083053F">
        <w:rPr>
          <w:sz w:val="20"/>
          <w:szCs w:val="20"/>
          <w:lang w:val="es-MX"/>
        </w:rPr>
        <w:t>_</w:t>
      </w:r>
      <w:r w:rsidR="00FF1A6E" w:rsidRPr="0083053F">
        <w:rPr>
          <w:sz w:val="20"/>
          <w:szCs w:val="20"/>
          <w:lang w:val="es-MX"/>
        </w:rPr>
        <w:t xml:space="preserve">_____            </w:t>
      </w:r>
      <w:r w:rsidRPr="0083053F">
        <w:rPr>
          <w:sz w:val="20"/>
          <w:szCs w:val="20"/>
          <w:lang w:val="es-MX"/>
        </w:rPr>
        <w:t>Grupo:__________     Salón:______________</w:t>
      </w:r>
      <w:r w:rsidR="0083053F" w:rsidRPr="0083053F">
        <w:rPr>
          <w:sz w:val="20"/>
          <w:szCs w:val="20"/>
          <w:lang w:val="es-MX"/>
        </w:rPr>
        <w:t xml:space="preserve">  </w:t>
      </w:r>
      <w:r w:rsidR="005255AE">
        <w:rPr>
          <w:sz w:val="20"/>
          <w:szCs w:val="20"/>
          <w:lang w:val="es-MX"/>
        </w:rPr>
        <w:tab/>
      </w:r>
      <w:r w:rsidR="0083053F" w:rsidRPr="0083053F">
        <w:rPr>
          <w:sz w:val="20"/>
          <w:szCs w:val="20"/>
          <w:lang w:val="es-MX"/>
        </w:rPr>
        <w:t>Semestre:_______________</w:t>
      </w:r>
      <w:r w:rsidR="00E011FB">
        <w:rPr>
          <w:sz w:val="20"/>
          <w:szCs w:val="20"/>
          <w:lang w:val="es-MX"/>
        </w:rPr>
        <w:t>____</w:t>
      </w:r>
      <w:r w:rsidR="005255AE">
        <w:rPr>
          <w:sz w:val="20"/>
          <w:szCs w:val="20"/>
          <w:lang w:val="es-MX"/>
        </w:rPr>
        <w:t>__</w:t>
      </w:r>
      <w:r w:rsidRPr="0083053F">
        <w:rPr>
          <w:sz w:val="20"/>
          <w:szCs w:val="20"/>
          <w:lang w:val="es-MX"/>
        </w:rPr>
        <w:t xml:space="preserve">    </w:t>
      </w:r>
    </w:p>
    <w:p w:rsidR="002C0AE7" w:rsidRPr="0083053F" w:rsidRDefault="002C0AE7" w:rsidP="0083053F">
      <w:pPr>
        <w:rPr>
          <w:sz w:val="20"/>
          <w:szCs w:val="20"/>
          <w:lang w:val="es-MX"/>
        </w:rPr>
      </w:pPr>
    </w:p>
    <w:p w:rsidR="002C0AE7" w:rsidRPr="0083053F" w:rsidRDefault="002C0AE7">
      <w:pPr>
        <w:rPr>
          <w:sz w:val="20"/>
          <w:szCs w:val="20"/>
          <w:lang w:val="es-MX"/>
        </w:rPr>
      </w:pPr>
    </w:p>
    <w:p w:rsidR="002C0AE7" w:rsidRPr="0083053F" w:rsidRDefault="002C0AE7">
      <w:pPr>
        <w:jc w:val="center"/>
        <w:rPr>
          <w:b/>
          <w:bCs/>
          <w:sz w:val="20"/>
          <w:szCs w:val="20"/>
          <w:lang w:val="es-MX"/>
        </w:rPr>
      </w:pPr>
      <w:r w:rsidRPr="0083053F">
        <w:rPr>
          <w:b/>
          <w:bCs/>
          <w:sz w:val="20"/>
          <w:szCs w:val="20"/>
          <w:lang w:val="es-MX"/>
        </w:rPr>
        <w:t>Aspectos que integran la calificación del Alumno:</w:t>
      </w:r>
    </w:p>
    <w:p w:rsidR="009946C2" w:rsidRPr="0083053F" w:rsidRDefault="009946C2">
      <w:pPr>
        <w:jc w:val="center"/>
        <w:rPr>
          <w:bCs/>
          <w:sz w:val="20"/>
          <w:szCs w:val="20"/>
          <w:u w:val="single"/>
          <w:lang w:val="es-MX"/>
        </w:rPr>
      </w:pPr>
      <w:r w:rsidRPr="0083053F">
        <w:rPr>
          <w:bCs/>
          <w:sz w:val="20"/>
          <w:szCs w:val="20"/>
          <w:lang w:val="es-MX"/>
        </w:rPr>
        <w:t>Estos aspectos debe</w:t>
      </w:r>
      <w:r w:rsidR="0026139D" w:rsidRPr="0083053F">
        <w:rPr>
          <w:bCs/>
          <w:sz w:val="20"/>
          <w:szCs w:val="20"/>
          <w:lang w:val="es-MX"/>
        </w:rPr>
        <w:t xml:space="preserve">rán ser acordes a lo establecido </w:t>
      </w:r>
      <w:r w:rsidRPr="0083053F">
        <w:rPr>
          <w:b/>
          <w:bCs/>
          <w:sz w:val="20"/>
          <w:szCs w:val="20"/>
          <w:lang w:val="es-MX"/>
        </w:rPr>
        <w:t>ESTATUTO ESCOLAR</w:t>
      </w:r>
      <w:r w:rsidR="0026139D" w:rsidRPr="0083053F">
        <w:rPr>
          <w:b/>
          <w:bCs/>
          <w:sz w:val="20"/>
          <w:szCs w:val="20"/>
          <w:lang w:val="es-MX"/>
        </w:rPr>
        <w:t xml:space="preserve"> y</w:t>
      </w:r>
      <w:r w:rsidR="0026139D" w:rsidRPr="0083053F">
        <w:rPr>
          <w:b/>
          <w:bCs/>
          <w:sz w:val="20"/>
          <w:szCs w:val="20"/>
          <w:u w:val="single"/>
          <w:lang w:val="es-MX"/>
        </w:rPr>
        <w:t xml:space="preserve"> </w:t>
      </w:r>
      <w:r w:rsidR="00DC5438" w:rsidRPr="0083053F">
        <w:rPr>
          <w:b/>
          <w:bCs/>
          <w:sz w:val="20"/>
          <w:szCs w:val="20"/>
          <w:u w:val="single"/>
          <w:lang w:val="es-MX"/>
        </w:rPr>
        <w:t>considerando las</w:t>
      </w:r>
      <w:r w:rsidR="0026139D" w:rsidRPr="0083053F">
        <w:rPr>
          <w:b/>
          <w:bCs/>
          <w:sz w:val="20"/>
          <w:szCs w:val="20"/>
          <w:u w:val="single"/>
          <w:lang w:val="es-MX"/>
        </w:rPr>
        <w:t xml:space="preserve"> cartas descriptivas de las unidad de aprendizaje</w:t>
      </w:r>
    </w:p>
    <w:p w:rsidR="009946C2" w:rsidRPr="0083053F" w:rsidRDefault="009946C2">
      <w:pPr>
        <w:jc w:val="center"/>
        <w:rPr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853"/>
        <w:gridCol w:w="3063"/>
        <w:gridCol w:w="853"/>
      </w:tblGrid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83053F" w:rsidRDefault="0050505F" w:rsidP="0050505F">
            <w:pPr>
              <w:rPr>
                <w:bCs/>
                <w:sz w:val="20"/>
                <w:szCs w:val="20"/>
                <w:lang w:val="es-MX"/>
              </w:rPr>
            </w:pPr>
            <w:r w:rsidRPr="0083053F">
              <w:rPr>
                <w:bCs/>
                <w:sz w:val="20"/>
                <w:szCs w:val="20"/>
                <w:lang w:val="es-MX"/>
              </w:rPr>
              <w:t>Criterios</w:t>
            </w:r>
          </w:p>
        </w:tc>
        <w:tc>
          <w:tcPr>
            <w:tcW w:w="3916" w:type="dxa"/>
            <w:gridSpan w:val="2"/>
          </w:tcPr>
          <w:p w:rsidR="0050505F" w:rsidRPr="0083053F" w:rsidRDefault="0050505F">
            <w:pPr>
              <w:jc w:val="center"/>
              <w:rPr>
                <w:sz w:val="20"/>
                <w:szCs w:val="20"/>
                <w:lang w:val="es-MX"/>
              </w:rPr>
            </w:pPr>
            <w:r w:rsidRPr="0083053F">
              <w:rPr>
                <w:sz w:val="20"/>
                <w:szCs w:val="20"/>
                <w:lang w:val="es-MX"/>
              </w:rPr>
              <w:t>Porcentajes:</w:t>
            </w:r>
          </w:p>
          <w:p w:rsidR="000A1B7F" w:rsidRPr="0083053F" w:rsidRDefault="000A1B7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 xml:space="preserve">Participación (Medible)                                                                                   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50505F" w:rsidRPr="0083053F" w:rsidRDefault="0050505F" w:rsidP="005255AE">
            <w:pPr>
              <w:ind w:left="-237" w:firstLine="237"/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Trabajos finales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809A2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Exámenes parciales (número de exámenes:_______)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Exposiciones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Memorias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Trabajos de investigación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bCs/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Casos de estudio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1F7A40" w:rsidRDefault="0050505F" w:rsidP="0050505F">
            <w:pPr>
              <w:rPr>
                <w:sz w:val="16"/>
                <w:szCs w:val="16"/>
                <w:lang w:val="es-MX"/>
              </w:rPr>
            </w:pPr>
            <w:r w:rsidRPr="001F7A40">
              <w:rPr>
                <w:sz w:val="16"/>
                <w:szCs w:val="16"/>
                <w:lang w:val="es-MX"/>
              </w:rPr>
              <w:t>Otros: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83053F" w:rsidRDefault="0050505F" w:rsidP="0050505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83053F" w:rsidRDefault="0050505F" w:rsidP="0050505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83053F" w:rsidRDefault="0050505F" w:rsidP="0050505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916" w:type="dxa"/>
            <w:gridSpan w:val="2"/>
          </w:tcPr>
          <w:p w:rsidR="0050505F" w:rsidRPr="0083053F" w:rsidRDefault="0050505F" w:rsidP="001F7A40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83053F">
              <w:rPr>
                <w:sz w:val="20"/>
                <w:szCs w:val="20"/>
              </w:rPr>
              <w:t xml:space="preserve">Total:    </w:t>
            </w:r>
            <w:r w:rsidR="001F7A40">
              <w:rPr>
                <w:sz w:val="20"/>
                <w:szCs w:val="20"/>
              </w:rPr>
              <w:t xml:space="preserve">                 1</w:t>
            </w:r>
            <w:r w:rsidRPr="0083053F">
              <w:rPr>
                <w:sz w:val="20"/>
                <w:szCs w:val="20"/>
              </w:rPr>
              <w:t>00%</w:t>
            </w:r>
          </w:p>
        </w:tc>
      </w:tr>
      <w:tr w:rsidR="0050505F" w:rsidRPr="0083053F" w:rsidTr="005255AE">
        <w:trPr>
          <w:jc w:val="center"/>
        </w:trPr>
        <w:tc>
          <w:tcPr>
            <w:tcW w:w="4769" w:type="dxa"/>
            <w:gridSpan w:val="2"/>
          </w:tcPr>
          <w:p w:rsidR="0050505F" w:rsidRPr="0083053F" w:rsidRDefault="0050505F" w:rsidP="0050505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916" w:type="dxa"/>
            <w:gridSpan w:val="2"/>
          </w:tcPr>
          <w:p w:rsidR="0050505F" w:rsidRPr="0083053F" w:rsidRDefault="0050505F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</w:tr>
      <w:tr w:rsidR="0050505F" w:rsidRPr="005255AE" w:rsidTr="005255AE">
        <w:trPr>
          <w:jc w:val="center"/>
        </w:trPr>
        <w:tc>
          <w:tcPr>
            <w:tcW w:w="4769" w:type="dxa"/>
            <w:gridSpan w:val="2"/>
          </w:tcPr>
          <w:p w:rsidR="0050505F" w:rsidRPr="0083053F" w:rsidRDefault="0050505F" w:rsidP="005255AE">
            <w:pPr>
              <w:jc w:val="both"/>
              <w:rPr>
                <w:sz w:val="20"/>
                <w:szCs w:val="20"/>
                <w:lang w:val="es-MX"/>
              </w:rPr>
            </w:pPr>
            <w:r w:rsidRPr="0083053F">
              <w:rPr>
                <w:sz w:val="20"/>
                <w:szCs w:val="20"/>
                <w:lang w:val="es-MX"/>
              </w:rPr>
              <w:t>Criterio para exentar la unidad de aprendizaje:</w:t>
            </w:r>
          </w:p>
        </w:tc>
        <w:tc>
          <w:tcPr>
            <w:tcW w:w="3916" w:type="dxa"/>
            <w:gridSpan w:val="2"/>
          </w:tcPr>
          <w:p w:rsidR="0050505F" w:rsidRPr="0083053F" w:rsidRDefault="005255AE" w:rsidP="005255AE">
            <w:pPr>
              <w:rPr>
                <w:bCs/>
                <w:sz w:val="20"/>
                <w:szCs w:val="20"/>
                <w:lang w:val="es-MX"/>
              </w:rPr>
            </w:pPr>
            <w:r>
              <w:rPr>
                <w:bCs/>
                <w:sz w:val="20"/>
                <w:szCs w:val="20"/>
                <w:lang w:val="es-MX"/>
              </w:rPr>
              <w:t>_____________________________________</w:t>
            </w:r>
          </w:p>
        </w:tc>
      </w:tr>
      <w:tr w:rsidR="005255AE" w:rsidRPr="0083053F" w:rsidTr="005255AE">
        <w:trPr>
          <w:gridAfter w:val="1"/>
          <w:wAfter w:w="853" w:type="dxa"/>
          <w:jc w:val="center"/>
        </w:trPr>
        <w:tc>
          <w:tcPr>
            <w:tcW w:w="3916" w:type="dxa"/>
          </w:tcPr>
          <w:p w:rsidR="005255AE" w:rsidRPr="0083053F" w:rsidRDefault="005255AE" w:rsidP="004A1CAB">
            <w:pPr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3916" w:type="dxa"/>
            <w:gridSpan w:val="2"/>
          </w:tcPr>
          <w:p w:rsidR="005255AE" w:rsidRPr="0083053F" w:rsidRDefault="005255AE" w:rsidP="004A1CAB">
            <w:pPr>
              <w:rPr>
                <w:bCs/>
                <w:sz w:val="20"/>
                <w:szCs w:val="20"/>
                <w:lang w:val="es-MX"/>
              </w:rPr>
            </w:pPr>
          </w:p>
        </w:tc>
      </w:tr>
    </w:tbl>
    <w:p w:rsidR="005255AE" w:rsidRDefault="005255AE" w:rsidP="00E011FB">
      <w:pPr>
        <w:autoSpaceDE w:val="0"/>
        <w:autoSpaceDN w:val="0"/>
        <w:adjustRightInd w:val="0"/>
        <w:ind w:right="-99"/>
        <w:jc w:val="both"/>
        <w:rPr>
          <w:rFonts w:ascii="Arial" w:hAnsi="Arial" w:cs="Arial"/>
          <w:bCs/>
          <w:sz w:val="16"/>
          <w:szCs w:val="16"/>
          <w:lang w:val="es-MX" w:eastAsia="es-MX"/>
        </w:rPr>
      </w:pPr>
    </w:p>
    <w:p w:rsidR="0026139D" w:rsidRPr="00A32D41" w:rsidRDefault="000A128A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 xml:space="preserve">Si el maestro considera cumplidos estos criterios podrá exentar de ordinario al alumno, en caso contrario, el alumno tendrá derecho a ordinario a menos que no tenga las asistencias requeridas o que haya recibido una sanción formal por la </w:t>
      </w:r>
      <w:r w:rsidR="007307FB" w:rsidRPr="00A32D41">
        <w:rPr>
          <w:bCs/>
          <w:sz w:val="14"/>
          <w:szCs w:val="16"/>
          <w:lang w:val="es-MX" w:eastAsia="es-MX"/>
        </w:rPr>
        <w:t>dirección</w:t>
      </w:r>
      <w:r w:rsidRPr="00A32D41">
        <w:rPr>
          <w:bCs/>
          <w:sz w:val="14"/>
          <w:szCs w:val="16"/>
          <w:lang w:val="es-MX" w:eastAsia="es-MX"/>
        </w:rPr>
        <w:t xml:space="preserve"> que le quite el derecho al examen.</w:t>
      </w:r>
    </w:p>
    <w:p w:rsidR="0026139D" w:rsidRPr="00A32D41" w:rsidRDefault="0026139D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</w:p>
    <w:p w:rsidR="00311F14" w:rsidRPr="00A32D41" w:rsidRDefault="009946C2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Principales artículos del Estatuto Escolar que deben observarse en la definición</w:t>
      </w:r>
      <w:r w:rsidR="00311F14" w:rsidRPr="00A32D41">
        <w:rPr>
          <w:bCs/>
          <w:sz w:val="14"/>
          <w:szCs w:val="16"/>
          <w:lang w:val="es-MX" w:eastAsia="es-MX"/>
        </w:rPr>
        <w:t xml:space="preserve"> de los criterios de evaluación y en los exámenes ordinarios y extraordinarios</w:t>
      </w:r>
      <w:r w:rsidR="000A128A" w:rsidRPr="00A32D41">
        <w:rPr>
          <w:bCs/>
          <w:sz w:val="14"/>
          <w:szCs w:val="16"/>
          <w:lang w:val="es-MX" w:eastAsia="es-MX"/>
        </w:rPr>
        <w:t xml:space="preserve"> y que el profesor deberá leer ante el grupo en el encuadre de clase al inicio del ciclo escolar</w:t>
      </w:r>
      <w:r w:rsidR="00311F14" w:rsidRPr="00A32D41">
        <w:rPr>
          <w:bCs/>
          <w:sz w:val="14"/>
          <w:szCs w:val="16"/>
          <w:lang w:val="es-MX" w:eastAsia="es-MX"/>
        </w:rPr>
        <w:t>.</w:t>
      </w:r>
    </w:p>
    <w:p w:rsidR="00F21E18" w:rsidRPr="00A32D41" w:rsidRDefault="00F21E18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ARTÍCULO 66. El profesor deberá dar a conocer a los alumnos, al inicio del curso, el programa de la unidad de aprendizaje, incluyendo la metodología de trabajo y criterios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de evaluación.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El alumno tendrá el derecho a ser evaluado de acuerdo con los contenidos del programa de unidad de aprendizaje que hayan sido impartidos y los criterios de evaluación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establecidos.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</w:p>
    <w:p w:rsidR="004050E0" w:rsidRPr="00A32D41" w:rsidRDefault="004050E0" w:rsidP="00A32D41">
      <w:pPr>
        <w:tabs>
          <w:tab w:val="left" w:pos="6180"/>
        </w:tabs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ARTÍCULO 67. Los criterios de evaluación definirán, entre otros puntos, los siguientes:</w:t>
      </w:r>
    </w:p>
    <w:p w:rsidR="004050E0" w:rsidRPr="00A32D41" w:rsidRDefault="004050E0" w:rsidP="00A32D41">
      <w:pPr>
        <w:tabs>
          <w:tab w:val="left" w:pos="6180"/>
        </w:tabs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I. Los aspectos a evaluar y los porcentajes que cada uno tendrá en la calificación;</w:t>
      </w:r>
    </w:p>
    <w:p w:rsidR="004050E0" w:rsidRPr="00A32D41" w:rsidRDefault="004050E0" w:rsidP="00A32D41">
      <w:pPr>
        <w:tabs>
          <w:tab w:val="left" w:pos="6180"/>
        </w:tabs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II. La utilización de diversos medios de evaluación para una unidad de aprendizaje, dependiendo de la naturaleza de la misma y los objetivos de ésta, y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III. Los momentos para la evaluación durante el desarrollo de la unidad de aprendizaje.</w:t>
      </w:r>
    </w:p>
    <w:p w:rsidR="00A32D41" w:rsidRPr="00A32D41" w:rsidRDefault="00A32D41" w:rsidP="00A32D41">
      <w:pPr>
        <w:tabs>
          <w:tab w:val="left" w:pos="6180"/>
        </w:tabs>
        <w:ind w:right="-99"/>
        <w:jc w:val="both"/>
        <w:rPr>
          <w:bCs/>
          <w:sz w:val="14"/>
          <w:szCs w:val="16"/>
          <w:lang w:val="es-MX" w:eastAsia="es-MX"/>
        </w:rPr>
      </w:pPr>
    </w:p>
    <w:p w:rsidR="004050E0" w:rsidRPr="00A32D41" w:rsidRDefault="004050E0" w:rsidP="00A32D41">
      <w:pPr>
        <w:tabs>
          <w:tab w:val="left" w:pos="6180"/>
        </w:tabs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ARTÍCULO 68. Los profesores evaluarán de forma permanente el grado de aprendizaje de los alumnos, por la apreciación de los conocimientos, aptitudes, habilidades,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destrezas adquiridas, actitudes y valores demostradas en el curso, a través de la participación durante el desarrollo del mismo, y el desempeño en los ejercicios, prácticas,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trabajos y los exámenes parciales realizados, que en este último caso, no podrán ser en número inferior a dos en cada periodo escolar.</w:t>
      </w:r>
    </w:p>
    <w:p w:rsidR="00EE0DA0" w:rsidRPr="00A32D41" w:rsidRDefault="004050E0" w:rsidP="00A32D41">
      <w:pPr>
        <w:tabs>
          <w:tab w:val="left" w:pos="6180"/>
        </w:tabs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Si el profesor considera suficientes estos elementos, exentará al alumno del examen ordinario. Si el alumno no estuviera de acuerdo con la calificación determinada por el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profesor, tendrá derecho a presentar el examen ordinario.</w:t>
      </w:r>
    </w:p>
    <w:p w:rsidR="004050E0" w:rsidRPr="00A32D41" w:rsidRDefault="004050E0" w:rsidP="00A32D41">
      <w:pPr>
        <w:tabs>
          <w:tab w:val="left" w:pos="6180"/>
        </w:tabs>
        <w:ind w:right="-99"/>
        <w:jc w:val="both"/>
        <w:rPr>
          <w:sz w:val="14"/>
          <w:szCs w:val="16"/>
          <w:lang w:val="es-MX" w:eastAsia="es-MX"/>
        </w:rPr>
      </w:pP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ARTÍCULO 69. En los programas de licenciatura y técnico superior universitario, se consideran medios para evaluar el grado de dominio que el alumno ha obtenido sobre la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unidad de aprendizaje que cursa, los resultados que éste obtenga en los siguientes tipos de exámenes: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I. Ordinarios;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II. Extraordinarios;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III. Especiales, y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IV. De competencias.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lastRenderedPageBreak/>
        <w:t>ARTÍCULO 70. Tendrán derecho a presentar examen ordinario, los alumnos que hayan cursado la unidad de aprendizaje con ochenta por ciento o más de asistencias en clases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impartidas.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El examen ordinario se aplicará dentro del periodo determinado en el calendario de actividades escolares. La unidad académica determinará la fecha y el horario de su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aplicación.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En todos los casos, la calificación del examen ordinario, se deberá capturar en los medios electrónicos dispuestos para tal efecto por la Coordinación General, dentro de un plazo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de tres días hábiles posteriores a la fecha de aplicación del examen.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ARTÍCULO 71. Tendrán derecho a examen extraordinario los alumnos que no presentaron examen ordinario o que habiéndolo presentado no obtuvieron una calificación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aprobatoria, siempre que hayan cursado la unidad de aprendizaje con sesenta por ciento o más de asistencias en clases impartidas.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>El examen extraordinario se aplicará dentro del periodo determinado en el calendario de actividades escolares. La unidad académica determinará la fecha y el horario de su</w:t>
      </w:r>
      <w:r w:rsidRPr="00A32D41">
        <w:rPr>
          <w:bCs/>
          <w:sz w:val="14"/>
          <w:szCs w:val="16"/>
          <w:lang w:val="es-MX" w:eastAsia="es-MX"/>
        </w:rPr>
        <w:t xml:space="preserve"> </w:t>
      </w:r>
      <w:r w:rsidRPr="00A32D41">
        <w:rPr>
          <w:bCs/>
          <w:sz w:val="14"/>
          <w:szCs w:val="16"/>
          <w:lang w:val="es-MX" w:eastAsia="es-MX"/>
        </w:rPr>
        <w:t>aplicación.</w:t>
      </w:r>
    </w:p>
    <w:p w:rsidR="00311F14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bCs/>
          <w:sz w:val="14"/>
          <w:szCs w:val="16"/>
          <w:lang w:val="es-MX" w:eastAsia="es-MX"/>
        </w:rPr>
      </w:pPr>
      <w:r w:rsidRPr="00A32D41">
        <w:rPr>
          <w:bCs/>
          <w:sz w:val="14"/>
          <w:szCs w:val="16"/>
          <w:lang w:val="es-MX" w:eastAsia="es-MX"/>
        </w:rPr>
        <w:t xml:space="preserve">En todos los casos, la calificación del examen extraordinario, se deberá capturar en los medios electrónicos dispuestos para tal efecto por la </w:t>
      </w:r>
      <w:r w:rsidRPr="00A32D41">
        <w:rPr>
          <w:bCs/>
          <w:sz w:val="14"/>
          <w:szCs w:val="16"/>
          <w:lang w:val="es-MX" w:eastAsia="es-MX"/>
        </w:rPr>
        <w:t xml:space="preserve">Coordinación General, dentro de </w:t>
      </w:r>
      <w:r w:rsidRPr="00A32D41">
        <w:rPr>
          <w:bCs/>
          <w:sz w:val="14"/>
          <w:szCs w:val="16"/>
          <w:lang w:val="es-MX" w:eastAsia="es-MX"/>
        </w:rPr>
        <w:t>un plazo de tres días hábiles posteriores a la fecha de aplicación del examen.</w:t>
      </w:r>
    </w:p>
    <w:p w:rsidR="004050E0" w:rsidRPr="00A32D41" w:rsidRDefault="004050E0" w:rsidP="00A32D41">
      <w:pPr>
        <w:autoSpaceDE w:val="0"/>
        <w:autoSpaceDN w:val="0"/>
        <w:adjustRightInd w:val="0"/>
        <w:ind w:right="-99"/>
        <w:jc w:val="both"/>
        <w:rPr>
          <w:sz w:val="14"/>
          <w:szCs w:val="16"/>
          <w:lang w:val="es-MX" w:eastAsia="es-MX"/>
        </w:rPr>
      </w:pP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ARTÍCULO 86. En la aplicación de exámenes ordinarios y extraordinarios, especiales y de competencias, se observarán las reglas siguientes: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I. Serán referidos a los contenidos de la unidad de aprendizaje que hayan sido vistos en clase;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II. Se podrán realizar por escrito, de manera práctica o con el auxilio de medios electrónicos. Los exámenes orales sólo serán aplicados en aquellas unidades de aprendizaje en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las cuales, conforme a su especial naturaleza, resulte imposible la evaluación por otros medios;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III. Se efectuarán en el periodo establecido en el calendario escolar y en los recintos universitarios. Cuando haya justificación, el director permitirá la aplicación de examen en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espacios externos asociados con el aprendizaje disciplinario.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IV. Se aplicarán por el profesor que imparte la unidad de aprendizaje. En caso de que éste no pueda efectuar el examen, el director designará a un profesor del área que corresponda;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V. La calificación obtenida en el examen se asentará en el acta respectiva, en un plazo de tres días hábiles siguientes al de su realización; si la calificación es aprobatoria, se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tendrá por acreditada la unidad de aprendizaje evaluada;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VI. En todos los casos, el acta de calificaciones deberá estar firmada por el profesor que aplicó el mismo;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VII. Cuando se haya vencido el plazo para la entrega del acta de calificaciones, el director podrá firmar el acta respectiva en lugar del profesor omiso, y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VIII. Si el profesor no entrega los resultados de la evaluación en el plazo establecido en la fracción V, se estará a lo dispuesto en el artículo siguiente.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ARTÍCULO 87. Según sea el caso, cuando el resultado de la evaluación no fuese capturado en los medios electrónicos dispuestos para tal efecto por la Coordinación General,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por el profesor dentro del periodo definido para ello en los artículos 70 y 71, se aplicarán los siguientes criterios: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I. Salvo que la omisión resulte de caso fortuito o fuerza mayor, el profesor omiso será sancionado de acuerdo a la normatividad aplicable;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II. La calificación de la asignatura quedará suspendida provisionalmente y el alumno obtendrá, de manera cautelar, carácter de alumno regular, para efectos de subasta de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asignaturas en reinscripción y subasta de carrera en tronco común;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III. El alumno podrá reinscribirse, inclusive, en asignaturas seriadas a las asignaturas en las que no se hayan capturado calificaciones;</w:t>
      </w: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IV. Si la calificación es reprobatoria y el periodo de exámenes subsecuente ha concluido, el alumno deberá solicitar la aplicación del examen a la unidad académica, la que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deberá programarlo dentro de los siguientes cinco días hábiles, y</w:t>
      </w:r>
    </w:p>
    <w:p w:rsidR="0050505F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/>
        </w:rPr>
      </w:pPr>
      <w:r w:rsidRPr="00A32D41">
        <w:rPr>
          <w:sz w:val="14"/>
          <w:szCs w:val="16"/>
          <w:lang w:val="es-MX" w:eastAsia="es-MX"/>
        </w:rPr>
        <w:t>V. En caso de que el alumno repruebe el examen señalado en la parte final de la fracción IV, cesarán los efectos provisionales establecidos en las fracciones II y III, y el alumno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deberá cursar nuevamente la asignatura, con los límites señalados en el artículo.</w:t>
      </w:r>
    </w:p>
    <w:p w:rsidR="0050505F" w:rsidRPr="00A32D41" w:rsidRDefault="0050505F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</w:p>
    <w:p w:rsidR="004050E0" w:rsidRPr="00A32D41" w:rsidRDefault="004050E0" w:rsidP="00A32D41">
      <w:pPr>
        <w:tabs>
          <w:tab w:val="left" w:pos="6180"/>
        </w:tabs>
        <w:jc w:val="both"/>
        <w:rPr>
          <w:sz w:val="14"/>
          <w:szCs w:val="16"/>
          <w:lang w:val="es-MX" w:eastAsia="es-MX"/>
        </w:rPr>
      </w:pPr>
      <w:r w:rsidRPr="00A32D41">
        <w:rPr>
          <w:sz w:val="14"/>
          <w:szCs w:val="16"/>
          <w:lang w:val="es-MX" w:eastAsia="es-MX"/>
        </w:rPr>
        <w:t>ARTÍCULO 90. El profesor, con la aprobación del director, podrá corregir los errores en que hubiera incurrido en el acta de calificaciones, dentro de los cinco días hábiles</w:t>
      </w:r>
      <w:r w:rsidRPr="00A32D41">
        <w:rPr>
          <w:sz w:val="14"/>
          <w:szCs w:val="16"/>
          <w:lang w:val="es-MX" w:eastAsia="es-MX"/>
        </w:rPr>
        <w:t xml:space="preserve"> </w:t>
      </w:r>
      <w:r w:rsidRPr="00A32D41">
        <w:rPr>
          <w:sz w:val="14"/>
          <w:szCs w:val="16"/>
          <w:lang w:val="es-MX" w:eastAsia="es-MX"/>
        </w:rPr>
        <w:t>siguientes a su entrega.</w:t>
      </w:r>
    </w:p>
    <w:p w:rsidR="004050E0" w:rsidRPr="00A32D41" w:rsidRDefault="004050E0" w:rsidP="004050E0">
      <w:pPr>
        <w:tabs>
          <w:tab w:val="left" w:pos="6180"/>
        </w:tabs>
        <w:rPr>
          <w:sz w:val="14"/>
          <w:szCs w:val="16"/>
          <w:lang w:val="es-MX" w:eastAsia="es-MX"/>
        </w:rPr>
      </w:pPr>
    </w:p>
    <w:p w:rsidR="00A32D41" w:rsidRDefault="00A32D41" w:rsidP="00E011FB">
      <w:pPr>
        <w:tabs>
          <w:tab w:val="left" w:pos="6180"/>
        </w:tabs>
        <w:rPr>
          <w:b/>
          <w:sz w:val="18"/>
          <w:szCs w:val="18"/>
          <w:lang w:val="es-MX"/>
        </w:rPr>
      </w:pPr>
    </w:p>
    <w:p w:rsidR="00A32D41" w:rsidRDefault="00A32D41" w:rsidP="00E011FB">
      <w:pPr>
        <w:tabs>
          <w:tab w:val="left" w:pos="6180"/>
        </w:tabs>
        <w:rPr>
          <w:b/>
          <w:sz w:val="18"/>
          <w:szCs w:val="18"/>
          <w:lang w:val="es-MX"/>
        </w:rPr>
      </w:pPr>
    </w:p>
    <w:p w:rsidR="0050505F" w:rsidRPr="00A32D41" w:rsidRDefault="000B2018" w:rsidP="00E011FB">
      <w:pPr>
        <w:tabs>
          <w:tab w:val="left" w:pos="6180"/>
        </w:tabs>
        <w:rPr>
          <w:b/>
          <w:sz w:val="18"/>
          <w:szCs w:val="18"/>
          <w:lang w:val="es-MX"/>
        </w:rPr>
      </w:pPr>
      <w:r w:rsidRPr="00A32D41">
        <w:rPr>
          <w:b/>
          <w:sz w:val="18"/>
          <w:szCs w:val="18"/>
          <w:lang w:val="es-MX"/>
        </w:rPr>
        <w:t>Nú</w:t>
      </w:r>
      <w:r w:rsidR="0050505F" w:rsidRPr="00A32D41">
        <w:rPr>
          <w:b/>
          <w:sz w:val="18"/>
          <w:szCs w:val="18"/>
          <w:lang w:val="es-MX"/>
        </w:rPr>
        <w:t xml:space="preserve">mero de matrícula, </w:t>
      </w:r>
      <w:r w:rsidR="009722F8" w:rsidRPr="00A32D41">
        <w:rPr>
          <w:b/>
          <w:sz w:val="18"/>
          <w:szCs w:val="18"/>
          <w:lang w:val="es-MX"/>
        </w:rPr>
        <w:t>nombre</w:t>
      </w:r>
      <w:r w:rsidR="0050505F" w:rsidRPr="00A32D41">
        <w:rPr>
          <w:b/>
          <w:sz w:val="18"/>
          <w:szCs w:val="18"/>
          <w:lang w:val="es-MX"/>
        </w:rPr>
        <w:t xml:space="preserve"> y firma del alumno representante del</w:t>
      </w:r>
      <w:r w:rsidR="00E011FB" w:rsidRPr="00A32D41">
        <w:rPr>
          <w:b/>
          <w:sz w:val="18"/>
          <w:szCs w:val="18"/>
          <w:lang w:val="es-MX"/>
        </w:rPr>
        <w:t xml:space="preserve"> </w:t>
      </w:r>
      <w:r w:rsidR="0050505F" w:rsidRPr="00A32D41">
        <w:rPr>
          <w:b/>
          <w:sz w:val="18"/>
          <w:szCs w:val="18"/>
          <w:lang w:val="es-MX"/>
        </w:rPr>
        <w:t>grupo</w:t>
      </w:r>
      <w:r w:rsidR="00C57E30" w:rsidRPr="00A32D41">
        <w:rPr>
          <w:b/>
          <w:sz w:val="18"/>
          <w:szCs w:val="18"/>
          <w:lang w:val="es-MX"/>
        </w:rPr>
        <w:t>*</w:t>
      </w:r>
      <w:r w:rsidR="00E011FB" w:rsidRPr="00A32D41">
        <w:rPr>
          <w:b/>
          <w:sz w:val="18"/>
          <w:szCs w:val="18"/>
          <w:lang w:val="es-MX"/>
        </w:rPr>
        <w:t>:____________________________________</w:t>
      </w:r>
    </w:p>
    <w:p w:rsidR="0050505F" w:rsidRPr="00A32D41" w:rsidRDefault="0050505F" w:rsidP="00E011FB">
      <w:pPr>
        <w:tabs>
          <w:tab w:val="left" w:pos="6180"/>
        </w:tabs>
        <w:rPr>
          <w:b/>
          <w:sz w:val="18"/>
          <w:szCs w:val="18"/>
          <w:lang w:val="es-MX"/>
        </w:rPr>
      </w:pPr>
    </w:p>
    <w:p w:rsidR="007968D8" w:rsidRPr="00A32D41" w:rsidRDefault="0083053F" w:rsidP="00E011FB">
      <w:pPr>
        <w:tabs>
          <w:tab w:val="left" w:pos="6180"/>
        </w:tabs>
        <w:rPr>
          <w:b/>
          <w:sz w:val="18"/>
          <w:szCs w:val="18"/>
          <w:lang w:val="es-MX"/>
        </w:rPr>
      </w:pPr>
      <w:r w:rsidRPr="00A32D41">
        <w:rPr>
          <w:b/>
          <w:sz w:val="18"/>
          <w:szCs w:val="18"/>
          <w:lang w:val="es-MX"/>
        </w:rPr>
        <w:t>F</w:t>
      </w:r>
      <w:r w:rsidR="0050505F" w:rsidRPr="00A32D41">
        <w:rPr>
          <w:b/>
          <w:sz w:val="18"/>
          <w:szCs w:val="18"/>
          <w:lang w:val="es-MX"/>
        </w:rPr>
        <w:t>irma</w:t>
      </w:r>
      <w:r w:rsidR="009722F8" w:rsidRPr="00A32D41">
        <w:rPr>
          <w:b/>
          <w:sz w:val="18"/>
          <w:szCs w:val="18"/>
          <w:lang w:val="es-MX"/>
        </w:rPr>
        <w:t xml:space="preserve"> del docente</w:t>
      </w:r>
      <w:r w:rsidR="0050505F" w:rsidRPr="00A32D41">
        <w:rPr>
          <w:b/>
          <w:sz w:val="18"/>
          <w:szCs w:val="18"/>
          <w:lang w:val="es-MX"/>
        </w:rPr>
        <w:t>: _________________________________________________________</w:t>
      </w:r>
      <w:r w:rsidRPr="00A32D41">
        <w:rPr>
          <w:b/>
          <w:sz w:val="18"/>
          <w:szCs w:val="18"/>
          <w:lang w:val="es-MX"/>
        </w:rPr>
        <w:t>___________________________</w:t>
      </w:r>
    </w:p>
    <w:p w:rsidR="00E011FB" w:rsidRPr="00A32D41" w:rsidRDefault="00E011FB" w:rsidP="00E011FB">
      <w:pPr>
        <w:tabs>
          <w:tab w:val="left" w:pos="6180"/>
        </w:tabs>
        <w:rPr>
          <w:b/>
          <w:sz w:val="18"/>
          <w:szCs w:val="18"/>
          <w:lang w:val="es-MX"/>
        </w:rPr>
      </w:pPr>
    </w:p>
    <w:p w:rsidR="0083053F" w:rsidRPr="00A32D41" w:rsidRDefault="002C0AE7" w:rsidP="00E011FB">
      <w:pPr>
        <w:tabs>
          <w:tab w:val="left" w:pos="6180"/>
        </w:tabs>
        <w:rPr>
          <w:b/>
          <w:sz w:val="18"/>
          <w:szCs w:val="18"/>
          <w:lang w:val="es-MX"/>
        </w:rPr>
      </w:pPr>
      <w:r w:rsidRPr="00A32D41">
        <w:rPr>
          <w:b/>
          <w:sz w:val="18"/>
          <w:szCs w:val="18"/>
          <w:lang w:val="es-MX"/>
        </w:rPr>
        <w:t xml:space="preserve">Firma de recibido del </w:t>
      </w:r>
      <w:r w:rsidR="007307FB" w:rsidRPr="00A32D41">
        <w:rPr>
          <w:b/>
          <w:sz w:val="18"/>
          <w:szCs w:val="18"/>
          <w:lang w:val="es-MX"/>
        </w:rPr>
        <w:t>responsable</w:t>
      </w:r>
      <w:r w:rsidRPr="00A32D41">
        <w:rPr>
          <w:b/>
          <w:sz w:val="18"/>
          <w:szCs w:val="18"/>
          <w:lang w:val="es-MX"/>
        </w:rPr>
        <w:t xml:space="preserve"> del  programa educativo o encargado de área</w:t>
      </w:r>
      <w:proofErr w:type="gramStart"/>
      <w:r w:rsidR="0050505F" w:rsidRPr="00A32D41">
        <w:rPr>
          <w:b/>
          <w:sz w:val="18"/>
          <w:szCs w:val="18"/>
          <w:lang w:val="es-MX"/>
        </w:rPr>
        <w:t>:_</w:t>
      </w:r>
      <w:proofErr w:type="gramEnd"/>
      <w:r w:rsidRPr="00A32D41">
        <w:rPr>
          <w:b/>
          <w:sz w:val="18"/>
          <w:szCs w:val="18"/>
          <w:lang w:val="es-MX"/>
        </w:rPr>
        <w:t>_____________</w:t>
      </w:r>
      <w:r w:rsidR="00E011FB" w:rsidRPr="00A32D41">
        <w:rPr>
          <w:b/>
          <w:sz w:val="18"/>
          <w:szCs w:val="18"/>
          <w:lang w:val="es-MX"/>
        </w:rPr>
        <w:t>__________________</w:t>
      </w:r>
    </w:p>
    <w:p w:rsidR="0083053F" w:rsidRPr="00A32D41" w:rsidRDefault="0083053F" w:rsidP="00E011FB">
      <w:pPr>
        <w:tabs>
          <w:tab w:val="left" w:pos="6180"/>
        </w:tabs>
        <w:rPr>
          <w:b/>
          <w:sz w:val="18"/>
          <w:szCs w:val="18"/>
          <w:lang w:val="es-MX"/>
        </w:rPr>
      </w:pPr>
    </w:p>
    <w:p w:rsidR="0083053F" w:rsidRPr="00A32D41" w:rsidRDefault="0083053F" w:rsidP="00E011FB">
      <w:pPr>
        <w:tabs>
          <w:tab w:val="left" w:pos="6180"/>
        </w:tabs>
        <w:rPr>
          <w:b/>
          <w:sz w:val="18"/>
          <w:szCs w:val="18"/>
          <w:lang w:val="es-MX"/>
        </w:rPr>
      </w:pPr>
    </w:p>
    <w:p w:rsidR="00FF1A6E" w:rsidRPr="00A32D41" w:rsidRDefault="00FF1A6E" w:rsidP="00E011FB">
      <w:pPr>
        <w:tabs>
          <w:tab w:val="left" w:pos="6180"/>
        </w:tabs>
        <w:rPr>
          <w:b/>
          <w:sz w:val="18"/>
          <w:szCs w:val="18"/>
          <w:lang w:val="es-MX"/>
        </w:rPr>
      </w:pPr>
      <w:r w:rsidRPr="00A32D41">
        <w:rPr>
          <w:sz w:val="20"/>
          <w:szCs w:val="20"/>
          <w:lang w:val="es-MX"/>
        </w:rPr>
        <w:t>Fecha</w:t>
      </w:r>
      <w:proofErr w:type="gramStart"/>
      <w:r w:rsidRPr="00A32D41">
        <w:rPr>
          <w:sz w:val="20"/>
          <w:szCs w:val="20"/>
          <w:lang w:val="es-MX"/>
        </w:rPr>
        <w:t>:_</w:t>
      </w:r>
      <w:proofErr w:type="gramEnd"/>
      <w:r w:rsidRPr="00A32D41">
        <w:rPr>
          <w:sz w:val="20"/>
          <w:szCs w:val="20"/>
          <w:lang w:val="es-MX"/>
        </w:rPr>
        <w:t>_________________________________</w:t>
      </w:r>
    </w:p>
    <w:p w:rsidR="007968D8" w:rsidRPr="00A32D41" w:rsidRDefault="007968D8" w:rsidP="00E011FB">
      <w:pPr>
        <w:tabs>
          <w:tab w:val="left" w:pos="6180"/>
        </w:tabs>
        <w:rPr>
          <w:sz w:val="18"/>
          <w:szCs w:val="18"/>
          <w:lang w:val="es-MX"/>
        </w:rPr>
      </w:pPr>
    </w:p>
    <w:p w:rsidR="007968D8" w:rsidRPr="00A32D41" w:rsidRDefault="007968D8" w:rsidP="00E011FB">
      <w:pPr>
        <w:tabs>
          <w:tab w:val="left" w:pos="6180"/>
        </w:tabs>
        <w:rPr>
          <w:b/>
          <w:i/>
          <w:sz w:val="16"/>
          <w:szCs w:val="16"/>
          <w:lang w:val="es-MX"/>
        </w:rPr>
      </w:pPr>
      <w:r w:rsidRPr="00A32D41">
        <w:rPr>
          <w:b/>
          <w:i/>
          <w:sz w:val="16"/>
          <w:szCs w:val="16"/>
          <w:lang w:val="es-MX"/>
        </w:rPr>
        <w:t>Entregar el original al Responsable del programa Educativo, el profesor y el alumno representante</w:t>
      </w:r>
      <w:r w:rsidR="0050505F" w:rsidRPr="00A32D41">
        <w:rPr>
          <w:b/>
          <w:i/>
          <w:sz w:val="16"/>
          <w:szCs w:val="16"/>
          <w:lang w:val="es-MX"/>
        </w:rPr>
        <w:t xml:space="preserve"> del grupo</w:t>
      </w:r>
      <w:r w:rsidRPr="00A32D41">
        <w:rPr>
          <w:b/>
          <w:i/>
          <w:sz w:val="16"/>
          <w:szCs w:val="16"/>
          <w:lang w:val="es-MX"/>
        </w:rPr>
        <w:t xml:space="preserve"> </w:t>
      </w:r>
      <w:proofErr w:type="gramStart"/>
      <w:r w:rsidRPr="00A32D41">
        <w:rPr>
          <w:b/>
          <w:i/>
          <w:sz w:val="16"/>
          <w:szCs w:val="16"/>
          <w:lang w:val="es-MX"/>
        </w:rPr>
        <w:t>deben</w:t>
      </w:r>
      <w:proofErr w:type="gramEnd"/>
      <w:r w:rsidRPr="00A32D41">
        <w:rPr>
          <w:b/>
          <w:i/>
          <w:sz w:val="16"/>
          <w:szCs w:val="16"/>
          <w:lang w:val="es-MX"/>
        </w:rPr>
        <w:t xml:space="preserve"> conservar una copia.</w:t>
      </w:r>
    </w:p>
    <w:p w:rsidR="00C57E30" w:rsidRPr="00A32D41" w:rsidRDefault="00C57E30" w:rsidP="00E011FB">
      <w:pPr>
        <w:tabs>
          <w:tab w:val="left" w:pos="6180"/>
        </w:tabs>
        <w:rPr>
          <w:b/>
          <w:i/>
          <w:sz w:val="16"/>
          <w:szCs w:val="16"/>
          <w:lang w:val="es-MX"/>
        </w:rPr>
      </w:pPr>
      <w:r w:rsidRPr="00A32D41">
        <w:rPr>
          <w:b/>
          <w:i/>
          <w:sz w:val="16"/>
          <w:szCs w:val="16"/>
          <w:lang w:val="es-MX"/>
        </w:rPr>
        <w:t>*Si se considera necesario, agregar una hoja con la firma de todos los estudiantes.</w:t>
      </w:r>
    </w:p>
    <w:p w:rsidR="005255AE" w:rsidRDefault="005255AE" w:rsidP="00E011FB">
      <w:pPr>
        <w:tabs>
          <w:tab w:val="left" w:pos="6180"/>
        </w:tabs>
        <w:rPr>
          <w:b/>
          <w:i/>
          <w:sz w:val="16"/>
          <w:szCs w:val="16"/>
          <w:lang w:val="es-MX"/>
        </w:rPr>
      </w:pPr>
    </w:p>
    <w:p w:rsidR="005255AE" w:rsidRDefault="005255AE" w:rsidP="00E011FB">
      <w:pPr>
        <w:tabs>
          <w:tab w:val="left" w:pos="6180"/>
        </w:tabs>
        <w:rPr>
          <w:b/>
          <w:i/>
          <w:sz w:val="16"/>
          <w:szCs w:val="16"/>
          <w:lang w:val="es-MX"/>
        </w:rPr>
      </w:pPr>
      <w:bookmarkStart w:id="0" w:name="_GoBack"/>
      <w:bookmarkEnd w:id="0"/>
    </w:p>
    <w:sectPr w:rsidR="005255AE" w:rsidSect="00A32D41">
      <w:pgSz w:w="12240" w:h="15840"/>
      <w:pgMar w:top="1134" w:right="1041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A"/>
    <w:rsid w:val="000A128A"/>
    <w:rsid w:val="000A1B7F"/>
    <w:rsid w:val="000B2018"/>
    <w:rsid w:val="00192977"/>
    <w:rsid w:val="001F0E3B"/>
    <w:rsid w:val="001F7A40"/>
    <w:rsid w:val="0026139D"/>
    <w:rsid w:val="002A1AE1"/>
    <w:rsid w:val="002C0AE7"/>
    <w:rsid w:val="002D02D9"/>
    <w:rsid w:val="00311F14"/>
    <w:rsid w:val="004050E0"/>
    <w:rsid w:val="0050505F"/>
    <w:rsid w:val="005255AE"/>
    <w:rsid w:val="007307FB"/>
    <w:rsid w:val="007968D8"/>
    <w:rsid w:val="0083053F"/>
    <w:rsid w:val="008809A2"/>
    <w:rsid w:val="009722F8"/>
    <w:rsid w:val="009946C2"/>
    <w:rsid w:val="00A32D41"/>
    <w:rsid w:val="00A7352F"/>
    <w:rsid w:val="00B238C0"/>
    <w:rsid w:val="00B339A0"/>
    <w:rsid w:val="00B433F7"/>
    <w:rsid w:val="00C57E30"/>
    <w:rsid w:val="00C6168A"/>
    <w:rsid w:val="00C80F14"/>
    <w:rsid w:val="00D01EB2"/>
    <w:rsid w:val="00D45044"/>
    <w:rsid w:val="00D73549"/>
    <w:rsid w:val="00DC5438"/>
    <w:rsid w:val="00E011FB"/>
    <w:rsid w:val="00E32A0A"/>
    <w:rsid w:val="00E44A4F"/>
    <w:rsid w:val="00EE0DA0"/>
    <w:rsid w:val="00F21E18"/>
    <w:rsid w:val="00F232C5"/>
    <w:rsid w:val="00F55685"/>
    <w:rsid w:val="00FA7B86"/>
    <w:rsid w:val="00FF1A6E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0"/>
      <w:lang w:val="es-MX"/>
    </w:rPr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right"/>
    </w:pPr>
    <w:rPr>
      <w:b/>
      <w:bCs/>
      <w:lang w:val="es-MX"/>
    </w:rPr>
  </w:style>
  <w:style w:type="table" w:styleId="Tablaconcuadrcula">
    <w:name w:val="Table Grid"/>
    <w:basedOn w:val="Tablanormal"/>
    <w:uiPriority w:val="59"/>
    <w:rsid w:val="0050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2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0"/>
      <w:lang w:val="es-MX"/>
    </w:rPr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right"/>
    </w:pPr>
    <w:rPr>
      <w:b/>
      <w:bCs/>
      <w:lang w:val="es-MX"/>
    </w:rPr>
  </w:style>
  <w:style w:type="table" w:styleId="Tablaconcuadrcula">
    <w:name w:val="Table Grid"/>
    <w:basedOn w:val="Tablanormal"/>
    <w:uiPriority w:val="59"/>
    <w:rsid w:val="0050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2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8F60-B590-497D-B60F-C02E7980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AUTONOMA DE BAJA CALIFORNIA</vt:lpstr>
      <vt:lpstr>UNIVERSIDAD AUTONOMA DE BAJA CALIFORNIA</vt:lpstr>
    </vt:vector>
  </TitlesOfParts>
  <Company>uabc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BAJA CALIFORNIA</dc:title>
  <dc:creator>eca</dc:creator>
  <cp:lastModifiedBy>Cynthia</cp:lastModifiedBy>
  <cp:revision>2</cp:revision>
  <cp:lastPrinted>2014-08-12T15:27:00Z</cp:lastPrinted>
  <dcterms:created xsi:type="dcterms:W3CDTF">2019-01-30T18:17:00Z</dcterms:created>
  <dcterms:modified xsi:type="dcterms:W3CDTF">2019-01-30T18:17:00Z</dcterms:modified>
</cp:coreProperties>
</file>